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校字〔2022〕121号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119380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1.65pt;margin-top:9.4pt;height:0.4pt;width:444.7pt;z-index:251660288;mso-width-relative:page;mso-height-relative:page;" filled="f" stroked="t" coordsize="21600,21600" o:gfxdata="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ANr2tUAAAAIAQAADwAAAAAAAAABACAAAAAiAAAAZHJzL2Rvd25yZXYueG1sUEsB&#10;AhQAFAAAAAgAh07iQBGRhtb4AQAA5gMAAA4AAAAAAAAAAQAgAAAAJAEAAGRycy9lMm9Eb2MueG1s&#10;UEsFBgAAAAAGAAYAWQEAAI4FAAAAAA==&#10;">
                <v:fill on="f" focussize="0,0"/>
                <v:stroke weight="3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1312;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关于印发《合肥城市学院普通高等教育学士</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大标宋简体" w:hAnsi="方正大标宋简体" w:eastAsia="方正大标宋简体" w:cs="方正大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学位授予细则》的通知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校属各单位：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《合肥城市学院普通高等教育学士学位授予细则》业经校长办公会议审议通过，现予以印发，请遵照执行。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附件：合肥城市学院普通高等教育学士学位授予细则</w:t>
      </w: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bookmarkStart w:id="0" w:name="_GoBack"/>
      <w:bookmarkEnd w:id="0"/>
    </w:p>
    <w:p>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合肥城市学院</w:t>
      </w:r>
    </w:p>
    <w:p>
      <w:pPr>
        <w:keepNext w:val="0"/>
        <w:keepLines w:val="0"/>
        <w:pageBreakBefore w:val="0"/>
        <w:widowControl w:val="0"/>
        <w:kinsoku/>
        <w:wordWrap/>
        <w:overflowPunct/>
        <w:topLinePunct w:val="0"/>
        <w:autoSpaceDE/>
        <w:autoSpaceDN/>
        <w:bidi w:val="0"/>
        <w:adjustRightInd/>
        <w:snapToGrid/>
        <w:spacing w:line="560" w:lineRule="exact"/>
        <w:ind w:firstLine="645"/>
        <w:jc w:val="right"/>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 xml:space="preserve">                               2022年11月5日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合肥城市学院普通高等教育学士学位授予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细则</w:t>
      </w:r>
    </w:p>
    <w:p>
      <w:pPr>
        <w:rPr>
          <w:rFonts w:hint="eastAsia" w:ascii="仿宋_GB2312" w:eastAsia="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olor w:val="000000"/>
          <w:sz w:val="32"/>
          <w:szCs w:val="32"/>
        </w:rPr>
      </w:pPr>
      <w:r>
        <w:rPr>
          <w:rFonts w:hint="eastAsia" w:ascii="仿宋_GB2312" w:hAnsi="仿宋" w:eastAsia="仿宋_GB2312"/>
          <w:b/>
          <w:color w:val="000000"/>
          <w:sz w:val="32"/>
          <w:szCs w:val="32"/>
        </w:rPr>
        <w:t>第一条</w:t>
      </w:r>
      <w:r>
        <w:rPr>
          <w:rFonts w:hint="eastAsia" w:ascii="仿宋_GB2312" w:hAnsi="仿宋" w:eastAsia="仿宋_GB2312"/>
          <w:b/>
          <w:color w:val="000000"/>
          <w:sz w:val="32"/>
          <w:szCs w:val="32"/>
          <w:lang w:val="en-US" w:eastAsia="zh-CN"/>
        </w:rPr>
        <w:t xml:space="preserve"> </w:t>
      </w:r>
      <w:r>
        <w:rPr>
          <w:rFonts w:hint="eastAsia" w:ascii="仿宋_GB2312" w:hAnsi="仿宋" w:eastAsia="仿宋_GB2312"/>
          <w:color w:val="000000"/>
          <w:sz w:val="32"/>
          <w:szCs w:val="32"/>
        </w:rPr>
        <w:t>根据《中华人民共和国学位条例》，结合我</w:t>
      </w:r>
      <w:r>
        <w:rPr>
          <w:rFonts w:hint="eastAsia" w:ascii="仿宋_GB2312" w:hAnsi="仿宋" w:eastAsia="仿宋_GB2312" w:cs="宋体"/>
          <w:kern w:val="0"/>
          <w:sz w:val="32"/>
          <w:szCs w:val="32"/>
          <w:highlight w:val="none"/>
        </w:rPr>
        <w:t>校</w:t>
      </w:r>
      <w:r>
        <w:rPr>
          <w:rFonts w:hint="eastAsia" w:ascii="仿宋_GB2312" w:hAnsi="仿宋" w:eastAsia="仿宋_GB2312"/>
          <w:color w:val="000000"/>
          <w:sz w:val="32"/>
          <w:szCs w:val="32"/>
        </w:rPr>
        <w:t>实际，修订本细则。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olor w:val="000000"/>
          <w:sz w:val="32"/>
          <w:szCs w:val="32"/>
        </w:rPr>
      </w:pPr>
      <w:r>
        <w:rPr>
          <w:rFonts w:hint="eastAsia" w:ascii="仿宋_GB2312" w:hAnsi="仿宋" w:eastAsia="仿宋_GB2312"/>
          <w:b/>
          <w:color w:val="000000"/>
          <w:sz w:val="32"/>
          <w:szCs w:val="32"/>
        </w:rPr>
        <w:t>第二条</w:t>
      </w:r>
      <w:r>
        <w:rPr>
          <w:rFonts w:hint="eastAsia" w:ascii="仿宋_GB2312" w:hAnsi="仿宋" w:eastAsia="仿宋_GB2312"/>
          <w:b/>
          <w:color w:val="000000"/>
          <w:sz w:val="32"/>
          <w:szCs w:val="32"/>
          <w:lang w:val="en-US" w:eastAsia="zh-CN"/>
        </w:rPr>
        <w:t xml:space="preserve"> </w:t>
      </w:r>
      <w:r>
        <w:rPr>
          <w:rFonts w:hint="eastAsia" w:ascii="仿宋_GB2312" w:hAnsi="仿宋" w:eastAsia="仿宋_GB2312"/>
          <w:color w:val="000000"/>
          <w:sz w:val="32"/>
          <w:szCs w:val="32"/>
        </w:rPr>
        <w:t>本科毕业生，成绩优良，达到下述学术水平者，授予学士学位：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1</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较好地掌握本门学科的基础理论、专门知识和基本技能</w:t>
      </w:r>
      <w:r>
        <w:rPr>
          <w:rFonts w:hint="eastAsia" w:ascii="仿宋_GB2312" w:hAnsi="仿宋"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2</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具有从事科学研究工作或承担专门技术工作的初步能力。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olor w:val="000000"/>
          <w:sz w:val="32"/>
          <w:szCs w:val="32"/>
        </w:rPr>
      </w:pPr>
      <w:r>
        <w:rPr>
          <w:rFonts w:hint="eastAsia" w:ascii="仿宋_GB2312" w:hAnsi="仿宋" w:eastAsia="仿宋_GB2312"/>
          <w:b/>
          <w:color w:val="000000"/>
          <w:sz w:val="32"/>
          <w:szCs w:val="32"/>
        </w:rPr>
        <w:t>第三条</w:t>
      </w:r>
      <w:r>
        <w:rPr>
          <w:rFonts w:hint="eastAsia" w:ascii="仿宋_GB2312" w:hAnsi="仿宋" w:eastAsia="仿宋_GB2312"/>
          <w:b/>
          <w:color w:val="000000"/>
          <w:sz w:val="32"/>
          <w:szCs w:val="32"/>
          <w:lang w:val="en-US" w:eastAsia="zh-CN"/>
        </w:rPr>
        <w:t xml:space="preserve"> </w:t>
      </w:r>
      <w:r>
        <w:rPr>
          <w:rFonts w:hint="eastAsia" w:ascii="仿宋_GB2312" w:hAnsi="仿宋" w:eastAsia="仿宋_GB2312"/>
          <w:color w:val="000000"/>
          <w:sz w:val="32"/>
          <w:szCs w:val="32"/>
        </w:rPr>
        <w:t>本科毕业生的学位申请由其所在学院负责受理。</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仿宋_GB2312" w:hAnsi="仿宋" w:eastAsia="仿宋_GB2312"/>
          <w:color w:val="000000"/>
          <w:sz w:val="32"/>
          <w:szCs w:val="32"/>
        </w:rPr>
      </w:pPr>
      <w:r>
        <w:rPr>
          <w:rFonts w:hint="eastAsia" w:ascii="仿宋_GB2312" w:hAnsi="仿宋" w:eastAsia="仿宋_GB2312"/>
          <w:b/>
          <w:color w:val="000000"/>
          <w:sz w:val="32"/>
          <w:szCs w:val="32"/>
        </w:rPr>
        <w:t>第四条</w:t>
      </w:r>
      <w:r>
        <w:rPr>
          <w:rFonts w:hint="eastAsia" w:ascii="仿宋_GB2312" w:hAnsi="仿宋" w:eastAsia="仿宋_GB2312"/>
          <w:b/>
          <w:color w:val="000000"/>
          <w:sz w:val="32"/>
          <w:szCs w:val="32"/>
          <w:lang w:val="en-US" w:eastAsia="zh-CN"/>
        </w:rPr>
        <w:t xml:space="preserve"> </w:t>
      </w:r>
      <w:r>
        <w:rPr>
          <w:rFonts w:hint="eastAsia" w:ascii="仿宋_GB2312" w:hAnsi="仿宋" w:eastAsia="仿宋_GB2312"/>
          <w:color w:val="000000"/>
          <w:sz w:val="32"/>
          <w:szCs w:val="32"/>
        </w:rPr>
        <w:t>学位申请者的资格审查由所在学院学位评定分委员会负责。学位申请者必须满足下列条件：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1</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政治表现良好；在校期间未受到留校察看及以上处分</w:t>
      </w:r>
      <w:r>
        <w:rPr>
          <w:rFonts w:hint="eastAsia" w:ascii="仿宋_GB2312" w:hAnsi="仿宋"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2</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课程或毕业实践环节要求：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⑴修满规定学分，毕业设计（论文）答辩通过，成绩合格，修业期满能获得本科毕业证书；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 xml:space="preserve">    ⑵必修课和限选课的补考或重修学分未达到24学分（四年制）或28学分（五年制）</w:t>
      </w:r>
      <w:r>
        <w:rPr>
          <w:rFonts w:hint="eastAsia" w:ascii="仿宋_GB2312" w:hAnsi="仿宋"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3</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无考试作弊或剽窃他人学术成果的行为。</w:t>
      </w:r>
    </w:p>
    <w:p>
      <w:pPr>
        <w:keepNext w:val="0"/>
        <w:keepLines w:val="0"/>
        <w:pageBreakBefore w:val="0"/>
        <w:widowControl w:val="0"/>
        <w:kinsoku/>
        <w:wordWrap/>
        <w:overflowPunct/>
        <w:topLinePunct w:val="0"/>
        <w:autoSpaceDE/>
        <w:autoSpaceDN/>
        <w:bidi w:val="0"/>
        <w:adjustRightInd/>
        <w:snapToGrid/>
        <w:spacing w:line="560" w:lineRule="exact"/>
        <w:ind w:firstLine="469" w:firstLineChars="146"/>
        <w:textAlignment w:val="auto"/>
        <w:rPr>
          <w:rFonts w:hint="eastAsia" w:ascii="仿宋_GB2312" w:hAnsi="仿宋" w:eastAsia="仿宋_GB2312"/>
          <w:color w:val="000000"/>
          <w:sz w:val="32"/>
          <w:szCs w:val="32"/>
        </w:rPr>
      </w:pPr>
      <w:r>
        <w:rPr>
          <w:rFonts w:hint="eastAsia" w:ascii="仿宋_GB2312" w:hAnsi="仿宋" w:eastAsia="仿宋_GB2312"/>
          <w:b/>
          <w:color w:val="000000"/>
          <w:sz w:val="32"/>
          <w:szCs w:val="32"/>
        </w:rPr>
        <w:t>第五条</w:t>
      </w:r>
      <w:r>
        <w:rPr>
          <w:rFonts w:hint="eastAsia" w:ascii="仿宋_GB2312" w:hAnsi="仿宋" w:eastAsia="仿宋_GB2312"/>
          <w:b/>
          <w:color w:val="000000"/>
          <w:sz w:val="32"/>
          <w:szCs w:val="32"/>
          <w:lang w:val="en-US" w:eastAsia="zh-CN"/>
        </w:rPr>
        <w:t xml:space="preserve"> </w:t>
      </w:r>
      <w:r>
        <w:rPr>
          <w:rFonts w:hint="eastAsia" w:ascii="仿宋_GB2312" w:hAnsi="仿宋" w:eastAsia="仿宋_GB2312"/>
          <w:color w:val="000000"/>
          <w:sz w:val="32"/>
          <w:szCs w:val="32"/>
        </w:rPr>
        <w:t>学位申请者应在其本科毕业设计（论文）答辩前（当学期第14至15周）提出学位申请，逾期不予受理。</w:t>
      </w:r>
    </w:p>
    <w:p>
      <w:pPr>
        <w:keepNext w:val="0"/>
        <w:keepLines w:val="0"/>
        <w:pageBreakBefore w:val="0"/>
        <w:widowControl w:val="0"/>
        <w:kinsoku/>
        <w:wordWrap/>
        <w:overflowPunct/>
        <w:topLinePunct w:val="0"/>
        <w:autoSpaceDE/>
        <w:autoSpaceDN/>
        <w:bidi w:val="0"/>
        <w:adjustRightInd/>
        <w:snapToGrid/>
        <w:spacing w:line="560" w:lineRule="exact"/>
        <w:ind w:left="-139" w:leftChars="-66" w:firstLine="630" w:firstLineChars="196"/>
        <w:textAlignment w:val="auto"/>
        <w:rPr>
          <w:rFonts w:hint="eastAsia" w:ascii="仿宋_GB2312" w:hAnsi="仿宋" w:eastAsia="仿宋_GB2312"/>
          <w:color w:val="000000"/>
          <w:sz w:val="32"/>
          <w:szCs w:val="32"/>
        </w:rPr>
      </w:pPr>
      <w:r>
        <w:rPr>
          <w:rFonts w:hint="eastAsia" w:ascii="仿宋_GB2312" w:hAnsi="仿宋" w:eastAsia="仿宋_GB2312"/>
          <w:b/>
          <w:color w:val="000000"/>
          <w:sz w:val="32"/>
          <w:szCs w:val="32"/>
        </w:rPr>
        <w:t>第六条</w:t>
      </w:r>
      <w:r>
        <w:rPr>
          <w:rFonts w:hint="eastAsia" w:ascii="仿宋_GB2312" w:hAnsi="仿宋" w:eastAsia="仿宋_GB2312"/>
          <w:b/>
          <w:color w:val="000000"/>
          <w:sz w:val="32"/>
          <w:szCs w:val="32"/>
          <w:lang w:val="en-US" w:eastAsia="zh-CN"/>
        </w:rPr>
        <w:t xml:space="preserve"> </w:t>
      </w:r>
      <w:r>
        <w:rPr>
          <w:rFonts w:hint="eastAsia" w:ascii="仿宋_GB2312" w:hAnsi="仿宋" w:eastAsia="仿宋_GB2312"/>
          <w:color w:val="000000"/>
          <w:sz w:val="32"/>
          <w:szCs w:val="32"/>
        </w:rPr>
        <w:t>对满足第二条和第四条的学位申请者，由所在学院学位评定分委员会进行公示。公示期满后，二级学院学位评定分委员会应提出建议授予学士学位名单，报学校学位评定委员会审定。</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仿宋_GB2312" w:hAnsi="仿宋" w:eastAsia="仿宋_GB2312"/>
          <w:color w:val="000000"/>
          <w:sz w:val="32"/>
          <w:szCs w:val="32"/>
        </w:rPr>
      </w:pPr>
      <w:r>
        <w:rPr>
          <w:rFonts w:hint="eastAsia" w:ascii="仿宋_GB2312" w:hAnsi="仿宋" w:eastAsia="仿宋_GB2312"/>
          <w:b/>
          <w:color w:val="000000"/>
          <w:sz w:val="32"/>
          <w:szCs w:val="32"/>
        </w:rPr>
        <w:t>第七条</w:t>
      </w:r>
      <w:r>
        <w:rPr>
          <w:rFonts w:hint="eastAsia" w:ascii="仿宋_GB2312" w:hAnsi="仿宋" w:eastAsia="仿宋_GB2312"/>
          <w:b/>
          <w:color w:val="000000"/>
          <w:sz w:val="32"/>
          <w:szCs w:val="32"/>
          <w:lang w:val="en-US" w:eastAsia="zh-CN"/>
        </w:rPr>
        <w:t xml:space="preserve"> </w:t>
      </w:r>
      <w:r>
        <w:rPr>
          <w:rFonts w:hint="eastAsia" w:ascii="仿宋_GB2312" w:hAnsi="仿宋" w:eastAsia="仿宋_GB2312"/>
          <w:color w:val="000000"/>
          <w:sz w:val="32"/>
          <w:szCs w:val="32"/>
        </w:rPr>
        <w:t>经学校学位评定委员会审查通过，决定授予学士学位的，由学校学位评定委员会办公室制发国务院学位办公室统一印制的普通高等教育学士学位证书。</w:t>
      </w:r>
    </w:p>
    <w:p>
      <w:pPr>
        <w:keepNext w:val="0"/>
        <w:keepLines w:val="0"/>
        <w:pageBreakBefore w:val="0"/>
        <w:widowControl w:val="0"/>
        <w:kinsoku/>
        <w:wordWrap/>
        <w:overflowPunct/>
        <w:topLinePunct w:val="0"/>
        <w:autoSpaceDE/>
        <w:autoSpaceDN/>
        <w:bidi w:val="0"/>
        <w:adjustRightInd/>
        <w:snapToGrid/>
        <w:spacing w:line="560" w:lineRule="exact"/>
        <w:ind w:left="-139" w:leftChars="-66" w:firstLine="630" w:firstLineChars="196"/>
        <w:textAlignment w:val="auto"/>
        <w:rPr>
          <w:rFonts w:hint="eastAsia" w:ascii="仿宋_GB2312" w:hAnsi="仿宋" w:eastAsia="仿宋_GB2312"/>
          <w:color w:val="000000"/>
          <w:sz w:val="32"/>
          <w:szCs w:val="32"/>
        </w:rPr>
      </w:pPr>
      <w:r>
        <w:rPr>
          <w:rFonts w:hint="eastAsia" w:ascii="仿宋_GB2312" w:hAnsi="仿宋" w:eastAsia="仿宋_GB2312"/>
          <w:b/>
          <w:color w:val="000000"/>
          <w:sz w:val="32"/>
          <w:szCs w:val="32"/>
        </w:rPr>
        <w:t>第八条</w:t>
      </w:r>
      <w:r>
        <w:rPr>
          <w:rFonts w:hint="eastAsia" w:ascii="仿宋_GB2312" w:hAnsi="仿宋" w:eastAsia="仿宋_GB2312"/>
          <w:b/>
          <w:color w:val="000000"/>
          <w:sz w:val="32"/>
          <w:szCs w:val="32"/>
          <w:lang w:val="en-US" w:eastAsia="zh-CN"/>
        </w:rPr>
        <w:t xml:space="preserve"> </w:t>
      </w:r>
      <w:r>
        <w:rPr>
          <w:rFonts w:hint="eastAsia" w:ascii="仿宋_GB2312" w:hAnsi="仿宋" w:eastAsia="仿宋_GB2312"/>
          <w:color w:val="000000"/>
          <w:sz w:val="32"/>
          <w:szCs w:val="32"/>
        </w:rPr>
        <w:t>学生在学期间各类课程的补考（重修）学分累计达到24学分（四年制）或28学分（五年制）及以上，或曾受过一次处分，被取消学位授予资格者，但在之后的学习中成绩优良，表现突出，未再出现课程补考或重修，未再受过任何处分，且在满足下列条件中第1款并同时满足第2-6款中之一者，经学生本人申请，所在学院初审，报学校学位评定委员会办公室审核，经学校学位评定委员会审议批准后，可授予学士学位。</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480" w:firstLineChars="15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1</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各类课程的补考（重修）学分未超过36学分（四年制）或42学分（五年制）；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2</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一届校级三好学生；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3</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三、四年级无补考（四年制），四、五年级无补考（五年制），且毕业前两学年平均成绩达75分及以上、毕业设计（论文）成绩为优秀；</w:t>
      </w:r>
    </w:p>
    <w:p>
      <w:pPr>
        <w:keepNext w:val="0"/>
        <w:keepLines w:val="0"/>
        <w:pageBreakBefore w:val="0"/>
        <w:widowControl w:val="0"/>
        <w:tabs>
          <w:tab w:val="left" w:pos="360"/>
        </w:tabs>
        <w:kinsoku/>
        <w:wordWrap/>
        <w:overflowPunct/>
        <w:topLinePunct w:val="0"/>
        <w:autoSpaceDE/>
        <w:autoSpaceDN/>
        <w:bidi w:val="0"/>
        <w:adjustRightInd/>
        <w:snapToGrid/>
        <w:spacing w:line="560" w:lineRule="exact"/>
        <w:ind w:firstLine="480" w:firstLineChars="15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4</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获得两次及以上奖学金，且获得学期不含第八学期（四年制）或第十学期（五年制）</w:t>
      </w:r>
      <w:r>
        <w:rPr>
          <w:rFonts w:hint="eastAsia" w:ascii="仿宋_GB2312" w:hAnsi="仿宋" w:eastAsia="仿宋_GB2312"/>
          <w:color w:val="000000"/>
          <w:sz w:val="32"/>
          <w:szCs w:val="32"/>
          <w:lang w:eastAsia="zh-CN"/>
        </w:rPr>
        <w:t>；</w:t>
      </w:r>
    </w:p>
    <w:p>
      <w:pPr>
        <w:keepNext w:val="0"/>
        <w:keepLines w:val="0"/>
        <w:pageBreakBefore w:val="0"/>
        <w:widowControl w:val="0"/>
        <w:tabs>
          <w:tab w:val="left" w:pos="360"/>
        </w:tabs>
        <w:kinsoku/>
        <w:wordWrap/>
        <w:overflowPunct/>
        <w:topLinePunct w:val="0"/>
        <w:autoSpaceDE/>
        <w:autoSpaceDN/>
        <w:bidi w:val="0"/>
        <w:adjustRightInd/>
        <w:snapToGrid/>
        <w:spacing w:line="560" w:lineRule="exact"/>
        <w:ind w:firstLine="480" w:firstLineChars="150"/>
        <w:textAlignment w:val="auto"/>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5</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考取硕士研究生并被相关院校正式录取</w:t>
      </w:r>
      <w:r>
        <w:rPr>
          <w:rFonts w:hint="eastAsia" w:ascii="仿宋_GB2312" w:hAnsi="仿宋" w:eastAsia="仿宋_GB2312"/>
          <w:color w:val="000000"/>
          <w:sz w:val="32"/>
          <w:szCs w:val="32"/>
          <w:lang w:eastAsia="zh-CN"/>
        </w:rPr>
        <w:t>；</w:t>
      </w:r>
    </w:p>
    <w:p>
      <w:pPr>
        <w:keepNext w:val="0"/>
        <w:keepLines w:val="0"/>
        <w:pageBreakBefore w:val="0"/>
        <w:widowControl w:val="0"/>
        <w:tabs>
          <w:tab w:val="left" w:pos="360"/>
        </w:tabs>
        <w:kinsoku/>
        <w:wordWrap/>
        <w:overflowPunct/>
        <w:topLinePunct w:val="0"/>
        <w:autoSpaceDE/>
        <w:autoSpaceDN/>
        <w:bidi w:val="0"/>
        <w:adjustRightInd/>
        <w:snapToGrid/>
        <w:spacing w:line="560" w:lineRule="exact"/>
        <w:ind w:firstLine="480" w:firstLineChars="15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6</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在国家级及以上学科和技能竞赛（A类赛事）中获奖，或在省级学科和技能竞赛（B类赛事）获得二等奖，具体赛事以安徽省教育厅发布的《安徽省大学生学科和技能竞赛项目列表》为准。</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147"/>
        <w:textAlignment w:val="auto"/>
        <w:rPr>
          <w:rFonts w:hint="eastAsia" w:ascii="仿宋_GB2312" w:hAnsi="仿宋" w:eastAsia="仿宋_GB2312"/>
          <w:color w:val="000000"/>
          <w:sz w:val="32"/>
          <w:szCs w:val="32"/>
        </w:rPr>
      </w:pPr>
      <w:r>
        <w:rPr>
          <w:rFonts w:hint="eastAsia" w:ascii="仿宋_GB2312" w:hAnsi="仿宋" w:eastAsia="仿宋_GB2312"/>
          <w:b/>
          <w:color w:val="000000"/>
          <w:sz w:val="32"/>
          <w:szCs w:val="32"/>
        </w:rPr>
        <w:t>第九条</w:t>
      </w:r>
      <w:r>
        <w:rPr>
          <w:rFonts w:hint="eastAsia" w:ascii="仿宋_GB2312" w:hAnsi="仿宋" w:eastAsia="仿宋_GB2312"/>
          <w:b/>
          <w:color w:val="000000"/>
          <w:sz w:val="32"/>
          <w:szCs w:val="32"/>
          <w:lang w:val="en-US" w:eastAsia="zh-CN"/>
        </w:rPr>
        <w:t xml:space="preserve"> </w:t>
      </w:r>
      <w:r>
        <w:rPr>
          <w:rFonts w:hint="eastAsia" w:ascii="仿宋_GB2312" w:hAnsi="仿宋" w:eastAsia="仿宋_GB2312"/>
          <w:color w:val="000000"/>
          <w:sz w:val="32"/>
          <w:szCs w:val="32"/>
        </w:rPr>
        <w:t>未获得学士学位者以后不再补授。</w:t>
      </w:r>
    </w:p>
    <w:p>
      <w:pPr>
        <w:keepNext w:val="0"/>
        <w:keepLines w:val="0"/>
        <w:pageBreakBefore w:val="0"/>
        <w:widowControl w:val="0"/>
        <w:tabs>
          <w:tab w:val="left" w:pos="360"/>
        </w:tabs>
        <w:kinsoku/>
        <w:wordWrap/>
        <w:overflowPunct/>
        <w:topLinePunct w:val="0"/>
        <w:autoSpaceDE/>
        <w:autoSpaceDN/>
        <w:bidi w:val="0"/>
        <w:adjustRightInd/>
        <w:snapToGrid/>
        <w:spacing w:line="560" w:lineRule="exact"/>
        <w:ind w:firstLine="472" w:firstLineChars="147"/>
        <w:textAlignment w:val="auto"/>
        <w:rPr>
          <w:rFonts w:hint="eastAsia" w:ascii="仿宋_GB2312" w:hAnsi="仿宋" w:eastAsia="仿宋_GB2312"/>
          <w:color w:val="000000"/>
          <w:sz w:val="32"/>
          <w:szCs w:val="32"/>
        </w:rPr>
      </w:pPr>
      <w:r>
        <w:rPr>
          <w:rFonts w:hint="eastAsia" w:ascii="仿宋_GB2312" w:hAnsi="仿宋" w:eastAsia="仿宋_GB2312"/>
          <w:b/>
          <w:color w:val="000000"/>
          <w:sz w:val="32"/>
          <w:szCs w:val="32"/>
        </w:rPr>
        <w:t>第十条</w:t>
      </w:r>
      <w:r>
        <w:rPr>
          <w:rFonts w:hint="eastAsia" w:ascii="仿宋_GB2312" w:hAnsi="仿宋" w:eastAsia="仿宋_GB2312"/>
          <w:b/>
          <w:color w:val="000000"/>
          <w:sz w:val="32"/>
          <w:szCs w:val="32"/>
          <w:lang w:val="en-US" w:eastAsia="zh-CN"/>
        </w:rPr>
        <w:t xml:space="preserve"> </w:t>
      </w:r>
      <w:r>
        <w:rPr>
          <w:rFonts w:hint="eastAsia" w:ascii="仿宋_GB2312" w:hAnsi="仿宋" w:eastAsia="仿宋_GB2312" w:cs="Times New Roman"/>
          <w:color w:val="000000"/>
          <w:sz w:val="32"/>
          <w:szCs w:val="32"/>
        </w:rPr>
        <w:t>本办法自发布之日起施行，对口招生学生参照执行。原《安徽建筑大学城市建设学院普通高等教育学位授予细则（修订）》同时废止，</w:t>
      </w:r>
      <w:r>
        <w:rPr>
          <w:rFonts w:hint="eastAsia" w:ascii="仿宋_GB2312" w:hAnsi="仿宋" w:eastAsia="仿宋_GB2312"/>
          <w:color w:val="000000"/>
          <w:sz w:val="32"/>
          <w:szCs w:val="32"/>
        </w:rPr>
        <w:t>由教务处负责解释。</w:t>
      </w:r>
    </w:p>
    <w:p>
      <w:pPr>
        <w:rPr>
          <w:color w:val="000000"/>
        </w:rPr>
      </w:pPr>
    </w:p>
    <w:p>
      <w:pPr>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tbl>
      <w:tblPr>
        <w:tblStyle w:val="7"/>
        <w:tblpPr w:leftFromText="180" w:rightFromText="180" w:vertAnchor="text" w:horzAnchor="page" w:tblpXSpec="center" w:tblpY="567"/>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2022年11月5日印发</w:t>
            </w:r>
          </w:p>
        </w:tc>
      </w:tr>
    </w:tbl>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sectPr>
      <w:footerReference r:id="rId3" w:type="default"/>
      <w:footerReference r:id="rId4" w:type="even"/>
      <w:pgSz w:w="11906" w:h="16838"/>
      <w:pgMar w:top="1984" w:right="1587" w:bottom="1928" w:left="1587" w:header="851" w:footer="1559" w:gutter="0"/>
      <w:pgBorders>
        <w:top w:val="none" w:sz="0" w:space="0"/>
        <w:left w:val="none" w:sz="0" w:space="0"/>
        <w:bottom w:val="none" w:sz="0" w:space="0"/>
        <w:right w:val="none" w:sz="0" w:space="0"/>
      </w:pgBorders>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Palatino Linotype"/>
    <w:panose1 w:val="02040503050406030204"/>
    <w:charset w:val="00"/>
    <w:family w:val="roman"/>
    <w:pitch w:val="default"/>
    <w:sig w:usb0="00000000" w:usb1="00000000" w:usb2="02000000" w:usb3="00000000" w:csb0="2000019F" w:csb1="00000000"/>
  </w:font>
  <w:font w:name="Palatino Linotype">
    <w:panose1 w:val="02040502050505030304"/>
    <w:charset w:val="00"/>
    <w:family w:val="auto"/>
    <w:pitch w:val="default"/>
    <w:sig w:usb0="E0000287" w:usb1="40000013" w:usb2="00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50800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92.75pt;margin-top:4pt;height:144pt;width:144pt;mso-position-horizontal-relative:margin;mso-wrap-style:none;z-index:251659264;mso-width-relative:page;mso-height-relative:page;" filled="f" stroked="f" coordsize="21600,21600" o:gfxdata="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qwk8tYAAAAKAQAADwAA&#10;AAAAAAABACAAAAAiAAAAZHJzL2Rvd25yZXYueG1sUEsBAhQAFAAAAAgAh07iQObIBaXfAQAAvwMA&#10;AA4AAAAAAAAAAQAgAAAAJQEAAGRycy9lMm9Eb2MueG1sUEsFBgAAAAAGAAYAWQEAAHYFA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left:-0.3pt;margin-top:0pt;height:144pt;width:144pt;mso-position-horizontal-relative:margin;mso-wrap-style:none;z-index:251660288;mso-width-relative:page;mso-height-relative:page;" filled="f" stroked="f" coordsize="21600,21600" o:gfxdata="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yjctMAAAAGAQAADwAAAAAA&#10;AAABACAAAAAiAAAAZHJzL2Rvd25yZXYueG1sUEsBAhQAFAAAAAgAh07iQDNUAkDfAQAAvwMAAA4A&#10;AAAAAAAAAQAgAAAAIgEAAGRycy9lMm9Eb2MueG1sUEsFBgAAAAAGAAYAWQEAAHM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780A56"/>
    <w:rsid w:val="01BD06D2"/>
    <w:rsid w:val="01F848E6"/>
    <w:rsid w:val="02252077"/>
    <w:rsid w:val="0361667C"/>
    <w:rsid w:val="03C434BA"/>
    <w:rsid w:val="0A9A561C"/>
    <w:rsid w:val="0B2B2D99"/>
    <w:rsid w:val="0BD33FB3"/>
    <w:rsid w:val="0CBD14CF"/>
    <w:rsid w:val="0D525967"/>
    <w:rsid w:val="0DFB44F5"/>
    <w:rsid w:val="0E5A1AC5"/>
    <w:rsid w:val="0FBD610E"/>
    <w:rsid w:val="100C6C20"/>
    <w:rsid w:val="114F1210"/>
    <w:rsid w:val="1970517C"/>
    <w:rsid w:val="1ACF704F"/>
    <w:rsid w:val="1CBF0826"/>
    <w:rsid w:val="1E4D5F74"/>
    <w:rsid w:val="1FD52F22"/>
    <w:rsid w:val="20A20446"/>
    <w:rsid w:val="238953AD"/>
    <w:rsid w:val="23A61C00"/>
    <w:rsid w:val="243A26A6"/>
    <w:rsid w:val="243C73D9"/>
    <w:rsid w:val="27B011AD"/>
    <w:rsid w:val="2A52398D"/>
    <w:rsid w:val="2A7E41CB"/>
    <w:rsid w:val="2B72732B"/>
    <w:rsid w:val="2D847318"/>
    <w:rsid w:val="2FAA5340"/>
    <w:rsid w:val="2FDE659E"/>
    <w:rsid w:val="30DA6D8B"/>
    <w:rsid w:val="321C0699"/>
    <w:rsid w:val="32C77BEE"/>
    <w:rsid w:val="32E4042B"/>
    <w:rsid w:val="35ED04F1"/>
    <w:rsid w:val="37F038D0"/>
    <w:rsid w:val="38225C6F"/>
    <w:rsid w:val="3B1B5E2E"/>
    <w:rsid w:val="3B507E82"/>
    <w:rsid w:val="3BF31361"/>
    <w:rsid w:val="3DB5191E"/>
    <w:rsid w:val="3DD41E02"/>
    <w:rsid w:val="3F5E5646"/>
    <w:rsid w:val="401E2B5D"/>
    <w:rsid w:val="42967C11"/>
    <w:rsid w:val="42FE110A"/>
    <w:rsid w:val="45D77C9A"/>
    <w:rsid w:val="4715439F"/>
    <w:rsid w:val="4BE5677D"/>
    <w:rsid w:val="4D806987"/>
    <w:rsid w:val="505F1058"/>
    <w:rsid w:val="518808FD"/>
    <w:rsid w:val="52221C27"/>
    <w:rsid w:val="524F4BBA"/>
    <w:rsid w:val="53BD2813"/>
    <w:rsid w:val="543E4854"/>
    <w:rsid w:val="55395A94"/>
    <w:rsid w:val="561E78CA"/>
    <w:rsid w:val="5CED02DA"/>
    <w:rsid w:val="5DCD1013"/>
    <w:rsid w:val="5FC67344"/>
    <w:rsid w:val="61A51118"/>
    <w:rsid w:val="62665AD7"/>
    <w:rsid w:val="63173CBA"/>
    <w:rsid w:val="693D0769"/>
    <w:rsid w:val="6C1D3F43"/>
    <w:rsid w:val="6DEC2A36"/>
    <w:rsid w:val="711E47D4"/>
    <w:rsid w:val="714A5F46"/>
    <w:rsid w:val="76490202"/>
    <w:rsid w:val="7A4F302A"/>
    <w:rsid w:val="7CEF19E4"/>
    <w:rsid w:val="7DA22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uiPriority w:val="0"/>
    <w:rPr>
      <w:rFonts w:hint="default" w:ascii="Times New Roman" w:hAnsi="Times New Roman" w:cs="Times New Roman"/>
      <w:color w:val="000000"/>
      <w:sz w:val="24"/>
      <w:szCs w:val="24"/>
      <w:u w:val="none"/>
    </w:rPr>
  </w:style>
  <w:style w:type="character" w:customStyle="1" w:styleId="10">
    <w:name w:val="font11"/>
    <w:basedOn w:val="8"/>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1223</Words>
  <Characters>1258</Characters>
  <Lines>0</Lines>
  <Paragraphs>0</Paragraphs>
  <TotalTime>13</TotalTime>
  <ScaleCrop>false</ScaleCrop>
  <LinksUpToDate>false</LinksUpToDate>
  <CharactersWithSpaces>1382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2022-11-10T07:39:40Z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D67BDFC375914A7B8D4E887CB70CBA1C</vt:lpwstr>
  </property>
</Properties>
</file>