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校字〔2022〕123号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关于印发《合肥城市学院普通全日制“专升本”学士学位授予细则（试行）》的通知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《合肥城市学院普通全日制“专升本”学士学位授予细则（试行）》业经校长办公会议审议通过，现予以印发，请遵照执行。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附件：合肥城市学院普通全日制“专升本”学士学位授予细则（试行）</w:t>
      </w:r>
    </w:p>
    <w:p>
      <w:pPr>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righ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2022年11月23日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2"/>
        <w:keepNext/>
        <w:keepLines/>
        <w:pageBreakBefore w:val="0"/>
        <w:widowControl w:val="0"/>
        <w:kinsoku/>
        <w:wordWrap/>
        <w:overflowPunct/>
        <w:topLinePunct w:val="0"/>
        <w:autoSpaceDE/>
        <w:autoSpaceDN/>
        <w:bidi w:val="0"/>
        <w:adjustRightInd/>
        <w:snapToGrid/>
        <w:spacing w:line="300" w:lineRule="exact"/>
        <w:textAlignment w:val="auto"/>
        <w:rPr>
          <w:rFonts w:hint="eastAsia"/>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sz w:val="44"/>
          <w:szCs w:val="44"/>
        </w:rPr>
        <w:t>合肥城市学院普通全日制“专升本”学士学位授予细则（试行）</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624" w:firstLineChars="195"/>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000000"/>
          <w:sz w:val="32"/>
          <w:szCs w:val="32"/>
        </w:rPr>
      </w:pPr>
      <w:r>
        <w:rPr>
          <w:rFonts w:hint="eastAsia" w:ascii="仿宋_GB2312" w:hAnsi="仿宋" w:eastAsia="仿宋_GB2312"/>
          <w:b/>
          <w:color w:val="000000"/>
          <w:sz w:val="32"/>
          <w:szCs w:val="32"/>
        </w:rPr>
        <w:t>第一条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根据《中华人民共和国学位条例》，结合我校实际，制订本细则。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000000"/>
          <w:sz w:val="32"/>
          <w:szCs w:val="32"/>
        </w:rPr>
      </w:pPr>
      <w:r>
        <w:rPr>
          <w:rFonts w:hint="eastAsia" w:ascii="仿宋_GB2312" w:hAnsi="仿宋" w:eastAsia="仿宋_GB2312"/>
          <w:b/>
          <w:color w:val="000000"/>
          <w:sz w:val="32"/>
          <w:szCs w:val="32"/>
        </w:rPr>
        <w:t>第二条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普通全日制“专升本”毕业生，思想政治表现良好，成绩优良，达到下述学术水平者，授予学士学位：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lang w:eastAsia="zh-CN"/>
        </w:rPr>
      </w:pPr>
      <w:r>
        <w:rPr>
          <w:rFonts w:ascii="仿宋_GB2312" w:hAnsi="仿宋" w:eastAsia="仿宋_GB2312"/>
          <w:color w:val="000000"/>
          <w:sz w:val="32"/>
          <w:szCs w:val="32"/>
        </w:rPr>
        <w:t>1</w:t>
      </w:r>
      <w:r>
        <w:rPr>
          <w:rFonts w:hint="eastAsia" w:ascii="仿宋_GB2312" w:hAnsi="仿宋" w:eastAsia="仿宋_GB2312"/>
          <w:color w:val="000000"/>
          <w:sz w:val="32"/>
          <w:szCs w:val="32"/>
          <w:lang w:val="en-US" w:eastAsia="zh-CN"/>
        </w:rPr>
        <w:t>.</w:t>
      </w:r>
      <w:r>
        <w:rPr>
          <w:rFonts w:hint="eastAsia" w:ascii="仿宋_GB2312" w:hAnsi="仿宋" w:eastAsia="仿宋_GB2312"/>
          <w:strike w:val="0"/>
          <w:color w:val="000000"/>
          <w:sz w:val="32"/>
          <w:szCs w:val="32"/>
        </w:rPr>
        <w:t>较好</w:t>
      </w:r>
      <w:r>
        <w:rPr>
          <w:rFonts w:hint="eastAsia" w:ascii="仿宋_GB2312" w:hAnsi="仿宋" w:eastAsia="仿宋_GB2312"/>
          <w:color w:val="000000"/>
          <w:sz w:val="32"/>
          <w:szCs w:val="32"/>
        </w:rPr>
        <w:t>地掌握本门学科的基础理论、专门知识和基本技能</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具有从事科学研究工作或承担专门技术工作的初步能力。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000000"/>
          <w:sz w:val="32"/>
          <w:szCs w:val="32"/>
        </w:rPr>
      </w:pPr>
      <w:r>
        <w:rPr>
          <w:rFonts w:hint="eastAsia" w:ascii="仿宋_GB2312" w:hAnsi="仿宋" w:eastAsia="仿宋_GB2312"/>
          <w:b/>
          <w:color w:val="000000"/>
          <w:sz w:val="32"/>
          <w:szCs w:val="32"/>
        </w:rPr>
        <w:t>第三条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普通全日制“专升本”毕业生的学位申请及授予资格审查由所在学院学位评定分委员会负责。学位申请者必须满足下列条件：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lang w:eastAsia="zh-CN"/>
        </w:rPr>
      </w:pPr>
      <w:r>
        <w:rPr>
          <w:rFonts w:ascii="仿宋_GB2312" w:hAnsi="仿宋" w:eastAsia="仿宋_GB2312"/>
          <w:color w:val="000000"/>
          <w:sz w:val="32"/>
          <w:szCs w:val="32"/>
        </w:rPr>
        <w:t>1</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政治表现良好，在校期间未受到留校察看处分</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lang w:val="en-US" w:eastAsia="zh-CN"/>
        </w:rPr>
        <w:t>.</w:t>
      </w:r>
      <w:r>
        <w:rPr>
          <w:rFonts w:hint="eastAsia" w:ascii="仿宋_GB2312" w:hAnsi="仿宋" w:eastAsia="仿宋_GB2312"/>
          <w:color w:val="000000"/>
          <w:sz w:val="32"/>
          <w:szCs w:val="32"/>
        </w:rPr>
        <w:t>课程和实践环节要求：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课程和实践环节成绩合格，修满规定学分，修业期满能获得本科毕业证书；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
          <w:color w:val="000000"/>
          <w:sz w:val="32"/>
          <w:szCs w:val="32"/>
        </w:rPr>
      </w:pP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各类课程的补考（重修）学分未达到</w:t>
      </w:r>
      <w:r>
        <w:rPr>
          <w:rFonts w:ascii="仿宋_GB2312" w:hAnsi="仿宋" w:eastAsia="仿宋_GB2312"/>
          <w:color w:val="000000"/>
          <w:sz w:val="32"/>
          <w:szCs w:val="32"/>
        </w:rPr>
        <w:t>15</w:t>
      </w:r>
      <w:r>
        <w:rPr>
          <w:rFonts w:hint="eastAsia" w:ascii="仿宋_GB2312" w:hAnsi="仿宋" w:eastAsia="仿宋_GB2312"/>
          <w:color w:val="000000"/>
          <w:sz w:val="32"/>
          <w:szCs w:val="32"/>
        </w:rPr>
        <w:t>学分。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无考试作弊或剽窃他人学术成果行为。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000000"/>
          <w:sz w:val="32"/>
          <w:szCs w:val="32"/>
        </w:rPr>
      </w:pPr>
      <w:r>
        <w:rPr>
          <w:rFonts w:hint="eastAsia" w:ascii="仿宋_GB2312" w:hAnsi="仿宋" w:eastAsia="仿宋_GB2312"/>
          <w:b/>
          <w:color w:val="000000"/>
          <w:sz w:val="32"/>
          <w:szCs w:val="32"/>
        </w:rPr>
        <w:t>第四条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学位申请者应在其本科毕业设计（论文）答辩前（当学期第</w:t>
      </w:r>
      <w:r>
        <w:rPr>
          <w:rFonts w:ascii="仿宋_GB2312" w:hAnsi="仿宋" w:eastAsia="仿宋_GB2312"/>
          <w:color w:val="000000"/>
          <w:sz w:val="32"/>
          <w:szCs w:val="32"/>
        </w:rPr>
        <w:t>14</w:t>
      </w:r>
      <w:r>
        <w:rPr>
          <w:rFonts w:hint="eastAsia" w:ascii="仿宋_GB2312" w:hAnsi="仿宋" w:eastAsia="仿宋_GB2312"/>
          <w:color w:val="000000"/>
          <w:sz w:val="32"/>
          <w:szCs w:val="32"/>
        </w:rPr>
        <w:t>至</w:t>
      </w:r>
      <w:r>
        <w:rPr>
          <w:rFonts w:ascii="仿宋_GB2312" w:hAnsi="仿宋" w:eastAsia="仿宋_GB2312"/>
          <w:color w:val="000000"/>
          <w:sz w:val="32"/>
          <w:szCs w:val="32"/>
        </w:rPr>
        <w:t>15</w:t>
      </w:r>
      <w:r>
        <w:rPr>
          <w:rFonts w:hint="eastAsia" w:ascii="仿宋_GB2312" w:hAnsi="仿宋" w:eastAsia="仿宋_GB2312"/>
          <w:color w:val="000000"/>
          <w:sz w:val="32"/>
          <w:szCs w:val="32"/>
        </w:rPr>
        <w:t>周）提出学位申请，逾期不予受理。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000000"/>
          <w:sz w:val="32"/>
          <w:szCs w:val="32"/>
        </w:rPr>
      </w:pPr>
      <w:r>
        <w:rPr>
          <w:rFonts w:hint="eastAsia" w:ascii="仿宋_GB2312" w:hAnsi="仿宋" w:eastAsia="仿宋_GB2312"/>
          <w:b/>
          <w:color w:val="000000"/>
          <w:sz w:val="32"/>
          <w:szCs w:val="32"/>
        </w:rPr>
        <w:t>第五条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对满足第二条和第三条的学位申请者，由所在学院学位评定分委员会进行公示。公示期满后，学院学位评定分委员会应提出建议授予学士学位名单，报学校学位评定委员会审定。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000000"/>
          <w:sz w:val="32"/>
          <w:szCs w:val="32"/>
        </w:rPr>
      </w:pPr>
      <w:r>
        <w:rPr>
          <w:rFonts w:hint="eastAsia" w:ascii="仿宋_GB2312" w:hAnsi="仿宋" w:eastAsia="仿宋_GB2312"/>
          <w:b/>
          <w:color w:val="000000"/>
          <w:sz w:val="32"/>
          <w:szCs w:val="32"/>
        </w:rPr>
        <w:t>第六条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经学校学位评定委员会审查通过，决定授予学士学位的，由学校学位评定委员会办公室制发国务院学位办公室统一印制的普通高等教育学士学位证书。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000000"/>
          <w:sz w:val="32"/>
          <w:szCs w:val="32"/>
        </w:rPr>
      </w:pPr>
      <w:r>
        <w:rPr>
          <w:rFonts w:hint="eastAsia" w:ascii="仿宋_GB2312" w:hAnsi="仿宋" w:eastAsia="仿宋_GB2312"/>
          <w:b/>
          <w:color w:val="000000"/>
          <w:sz w:val="32"/>
          <w:szCs w:val="32"/>
        </w:rPr>
        <w:t>第七条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学生在校期间各类课程的补考（重修）学分累计达到</w:t>
      </w:r>
      <w:r>
        <w:rPr>
          <w:rFonts w:ascii="仿宋_GB2312" w:hAnsi="仿宋" w:eastAsia="仿宋_GB2312"/>
          <w:color w:val="000000"/>
          <w:sz w:val="32"/>
          <w:szCs w:val="32"/>
        </w:rPr>
        <w:t>15</w:t>
      </w:r>
      <w:r>
        <w:rPr>
          <w:rFonts w:hint="eastAsia" w:ascii="仿宋_GB2312" w:hAnsi="仿宋" w:eastAsia="仿宋_GB2312"/>
          <w:color w:val="000000"/>
          <w:sz w:val="32"/>
          <w:szCs w:val="32"/>
        </w:rPr>
        <w:t>学分及以上，或曾受过一次留校察看处分被取消学位授予资格者，但在之后的学习中成绩优良，表现突出，未再出现课程补考或重修，未再受过任何处分（已有留校察看处分在学位申请前已被解除），且在满足下列条件中第</w:t>
      </w:r>
      <w:r>
        <w:rPr>
          <w:rFonts w:ascii="仿宋_GB2312" w:hAnsi="仿宋" w:eastAsia="仿宋_GB2312"/>
          <w:color w:val="000000"/>
          <w:sz w:val="32"/>
          <w:szCs w:val="32"/>
        </w:rPr>
        <w:t>1</w:t>
      </w:r>
      <w:r>
        <w:rPr>
          <w:rFonts w:hint="eastAsia" w:ascii="仿宋_GB2312" w:hAnsi="仿宋" w:eastAsia="仿宋_GB2312"/>
          <w:color w:val="000000"/>
          <w:sz w:val="32"/>
          <w:szCs w:val="32"/>
        </w:rPr>
        <w:t>款并同时满足第</w:t>
      </w:r>
      <w:r>
        <w:rPr>
          <w:rFonts w:ascii="仿宋_GB2312" w:hAnsi="仿宋" w:eastAsia="仿宋_GB2312"/>
          <w:color w:val="000000"/>
          <w:sz w:val="32"/>
          <w:szCs w:val="32"/>
        </w:rPr>
        <w:t>2-6</w:t>
      </w:r>
      <w:r>
        <w:rPr>
          <w:rFonts w:hint="eastAsia" w:ascii="仿宋_GB2312" w:hAnsi="仿宋" w:eastAsia="仿宋_GB2312"/>
          <w:color w:val="000000"/>
          <w:sz w:val="32"/>
          <w:szCs w:val="32"/>
        </w:rPr>
        <w:t>款中之一者，经学生本人申请，所在学院初审，报学校学位评定委员会办公室审核，经学校学位评定委员会审议批准后，可授予学士学位。</w:t>
      </w:r>
    </w:p>
    <w:p>
      <w:pPr>
        <w:keepNext w:val="0"/>
        <w:keepLines w:val="0"/>
        <w:pageBreakBefore w:val="0"/>
        <w:widowControl w:val="0"/>
        <w:tabs>
          <w:tab w:val="left" w:pos="54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lang w:eastAsia="zh-CN"/>
        </w:rPr>
      </w:pPr>
      <w:r>
        <w:rPr>
          <w:rFonts w:ascii="仿宋_GB2312" w:hAnsi="仿宋" w:eastAsia="仿宋_GB2312"/>
          <w:color w:val="000000"/>
          <w:sz w:val="32"/>
          <w:szCs w:val="32"/>
        </w:rPr>
        <w:t>1</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各类课程的补考（重修）学分未超过</w:t>
      </w:r>
      <w:r>
        <w:rPr>
          <w:rFonts w:ascii="仿宋_GB2312" w:hAnsi="仿宋" w:eastAsia="仿宋_GB2312"/>
          <w:color w:val="000000"/>
          <w:sz w:val="32"/>
          <w:szCs w:val="32"/>
        </w:rPr>
        <w:t>20</w:t>
      </w:r>
      <w:r>
        <w:rPr>
          <w:rFonts w:hint="eastAsia" w:ascii="仿宋_GB2312" w:hAnsi="仿宋" w:eastAsia="仿宋_GB2312"/>
          <w:color w:val="000000"/>
          <w:sz w:val="32"/>
          <w:szCs w:val="32"/>
        </w:rPr>
        <w:t>学分</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lang w:eastAsia="zh-CN"/>
        </w:rPr>
      </w:pPr>
      <w:r>
        <w:rPr>
          <w:rFonts w:ascii="仿宋_GB2312" w:hAnsi="仿宋" w:eastAsia="仿宋_GB2312"/>
          <w:color w:val="000000"/>
          <w:sz w:val="32"/>
          <w:szCs w:val="32"/>
        </w:rPr>
        <w:t>2</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在二年级无补考且平均成绩达</w:t>
      </w:r>
      <w:r>
        <w:rPr>
          <w:rFonts w:ascii="仿宋_GB2312" w:hAnsi="仿宋" w:eastAsia="仿宋_GB2312"/>
          <w:color w:val="000000"/>
          <w:sz w:val="32"/>
          <w:szCs w:val="32"/>
        </w:rPr>
        <w:t>75</w:t>
      </w:r>
      <w:r>
        <w:rPr>
          <w:rFonts w:hint="eastAsia" w:ascii="仿宋_GB2312" w:hAnsi="仿宋" w:eastAsia="仿宋_GB2312"/>
          <w:color w:val="000000"/>
          <w:sz w:val="32"/>
          <w:szCs w:val="32"/>
        </w:rPr>
        <w:t>分及以上，同时毕业设计（论文）成绩为优秀</w:t>
      </w:r>
      <w:r>
        <w:rPr>
          <w:rFonts w:hint="eastAsia" w:ascii="仿宋_GB2312" w:hAnsi="仿宋" w:eastAsia="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lang w:eastAsia="zh-CN"/>
        </w:rPr>
      </w:pPr>
      <w:r>
        <w:rPr>
          <w:rFonts w:ascii="仿宋_GB2312" w:hAnsi="仿宋" w:eastAsia="仿宋_GB2312"/>
          <w:color w:val="000000"/>
          <w:sz w:val="32"/>
          <w:szCs w:val="32"/>
        </w:rPr>
        <w:t>3</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获一届校级三好学生</w:t>
      </w:r>
      <w:r>
        <w:rPr>
          <w:rFonts w:hint="eastAsia" w:ascii="仿宋_GB2312" w:hAnsi="仿宋" w:eastAsia="仿宋_GB2312"/>
          <w:color w:val="000000"/>
          <w:sz w:val="32"/>
          <w:szCs w:val="32"/>
          <w:lang w:eastAsia="zh-CN"/>
        </w:rPr>
        <w:t>。</w:t>
      </w:r>
    </w:p>
    <w:p>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lang w:eastAsia="zh-CN"/>
        </w:rPr>
      </w:pPr>
      <w:r>
        <w:rPr>
          <w:rFonts w:ascii="仿宋_GB2312" w:hAnsi="仿宋" w:eastAsia="仿宋_GB2312"/>
          <w:color w:val="000000"/>
          <w:sz w:val="32"/>
          <w:szCs w:val="32"/>
        </w:rPr>
        <w:t>4</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获得一次及以上奖学金</w:t>
      </w:r>
      <w:r>
        <w:rPr>
          <w:rFonts w:hint="eastAsia" w:ascii="仿宋_GB2312" w:hAnsi="仿宋" w:eastAsia="仿宋_GB2312"/>
          <w:color w:val="000000"/>
          <w:sz w:val="32"/>
          <w:szCs w:val="32"/>
          <w:lang w:eastAsia="zh-CN"/>
        </w:rPr>
        <w:t>。</w:t>
      </w:r>
    </w:p>
    <w:p>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olor w:val="000000"/>
          <w:sz w:val="32"/>
          <w:szCs w:val="32"/>
          <w:lang w:eastAsia="zh-CN"/>
        </w:rPr>
      </w:pPr>
      <w:r>
        <w:rPr>
          <w:rFonts w:ascii="仿宋_GB2312" w:hAnsi="仿宋" w:eastAsia="仿宋_GB2312"/>
          <w:color w:val="000000"/>
          <w:sz w:val="32"/>
          <w:szCs w:val="32"/>
        </w:rPr>
        <w:t>5</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考取硕士研究生并被相关院校正式录取</w:t>
      </w:r>
      <w:r>
        <w:rPr>
          <w:rFonts w:hint="eastAsia" w:ascii="仿宋_GB2312" w:hAnsi="仿宋" w:eastAsia="仿宋_GB2312"/>
          <w:color w:val="000000"/>
          <w:sz w:val="32"/>
          <w:szCs w:val="32"/>
          <w:lang w:eastAsia="zh-CN"/>
        </w:rPr>
        <w:t>。</w:t>
      </w:r>
    </w:p>
    <w:p>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olor w:val="000000"/>
          <w:sz w:val="32"/>
          <w:szCs w:val="32"/>
        </w:rPr>
      </w:pPr>
      <w:r>
        <w:rPr>
          <w:rFonts w:ascii="仿宋_GB2312" w:hAnsi="仿宋" w:eastAsia="仿宋_GB2312"/>
          <w:color w:val="000000"/>
          <w:sz w:val="32"/>
          <w:szCs w:val="32"/>
        </w:rPr>
        <w:t>6</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rPr>
        <w:t>在国家级及以上学科和技能竞赛（</w:t>
      </w:r>
      <w:r>
        <w:rPr>
          <w:rFonts w:ascii="仿宋_GB2312" w:hAnsi="仿宋" w:eastAsia="仿宋_GB2312"/>
          <w:color w:val="000000"/>
          <w:sz w:val="32"/>
          <w:szCs w:val="32"/>
        </w:rPr>
        <w:t>A</w:t>
      </w:r>
      <w:r>
        <w:rPr>
          <w:rFonts w:hint="eastAsia" w:ascii="仿宋_GB2312" w:hAnsi="仿宋" w:eastAsia="仿宋_GB2312"/>
          <w:color w:val="000000"/>
          <w:sz w:val="32"/>
          <w:szCs w:val="32"/>
        </w:rPr>
        <w:t>类赛事）中获奖，或在省级学科和技能竞赛（</w:t>
      </w:r>
      <w:r>
        <w:rPr>
          <w:rFonts w:ascii="仿宋_GB2312" w:hAnsi="仿宋" w:eastAsia="仿宋_GB2312"/>
          <w:color w:val="000000"/>
          <w:sz w:val="32"/>
          <w:szCs w:val="32"/>
        </w:rPr>
        <w:t>B</w:t>
      </w:r>
      <w:r>
        <w:rPr>
          <w:rFonts w:hint="eastAsia" w:ascii="仿宋_GB2312" w:hAnsi="仿宋" w:eastAsia="仿宋_GB2312"/>
          <w:color w:val="000000"/>
          <w:sz w:val="32"/>
          <w:szCs w:val="32"/>
        </w:rPr>
        <w:t>类赛事）获得二等奖，具体赛事以安徽省教育厅发布的《安徽省大学生学科和技能竞赛项目列表》为准。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000000"/>
          <w:sz w:val="32"/>
          <w:szCs w:val="32"/>
        </w:rPr>
      </w:pPr>
      <w:r>
        <w:rPr>
          <w:rFonts w:hint="eastAsia" w:ascii="仿宋_GB2312" w:hAnsi="仿宋" w:eastAsia="仿宋_GB2312"/>
          <w:b/>
          <w:color w:val="000000"/>
          <w:sz w:val="32"/>
          <w:szCs w:val="32"/>
        </w:rPr>
        <w:t>第八条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未获得学士学位者以后不再补授。</w:t>
      </w:r>
    </w:p>
    <w:p>
      <w:pPr>
        <w:keepNext w:val="0"/>
        <w:keepLines w:val="0"/>
        <w:pageBreakBefore w:val="0"/>
        <w:widowControl w:val="0"/>
        <w:tabs>
          <w:tab w:val="left" w:pos="360"/>
        </w:tabs>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color w:val="000000"/>
          <w:sz w:val="32"/>
          <w:szCs w:val="32"/>
        </w:rPr>
      </w:pPr>
      <w:r>
        <w:rPr>
          <w:rFonts w:hint="eastAsia" w:ascii="仿宋_GB2312" w:hAnsi="仿宋" w:eastAsia="仿宋_GB2312"/>
          <w:b/>
          <w:color w:val="000000"/>
          <w:sz w:val="32"/>
          <w:szCs w:val="32"/>
        </w:rPr>
        <w:t>第九条</w:t>
      </w:r>
      <w:r>
        <w:rPr>
          <w:rFonts w:hint="eastAsia" w:ascii="仿宋_GB2312" w:hAnsi="仿宋" w:eastAsia="仿宋_GB2312"/>
          <w:b/>
          <w:color w:val="000000"/>
          <w:sz w:val="32"/>
          <w:szCs w:val="32"/>
          <w:lang w:val="en-US" w:eastAsia="zh-CN"/>
        </w:rPr>
        <w:t xml:space="preserve"> </w:t>
      </w:r>
      <w:r>
        <w:rPr>
          <w:rFonts w:hint="eastAsia" w:ascii="仿宋_GB2312" w:hAnsi="仿宋" w:eastAsia="仿宋_GB2312"/>
          <w:color w:val="000000"/>
          <w:sz w:val="32"/>
          <w:szCs w:val="32"/>
        </w:rPr>
        <w:t>本办法自发布之日起施行，由学位评定委员会办公室（教务处）负责解释。</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spacing w:line="480" w:lineRule="exact"/>
        <w:rPr>
          <w:rFonts w:ascii="仿宋" w:hAnsi="仿宋" w:eastAsia="仿宋" w:cs="仿宋"/>
          <w:sz w:val="32"/>
          <w:szCs w:val="32"/>
        </w:rPr>
      </w:pPr>
      <w:r>
        <w:rPr>
          <w:rFonts w:ascii="仿宋" w:hAnsi="仿宋" w:eastAsia="仿宋" w:cs="仿宋"/>
          <w:sz w:val="32"/>
          <w:szCs w:val="32"/>
        </w:rPr>
        <w:t xml:space="preserve">  </w:t>
      </w:r>
    </w:p>
    <w:p>
      <w:pPr>
        <w:spacing w:line="360" w:lineRule="auto"/>
        <w:rPr>
          <w:rFonts w:hint="eastAsia"/>
          <w:color w:val="000000"/>
        </w:rPr>
      </w:pPr>
    </w:p>
    <w:p>
      <w:pPr>
        <w:spacing w:line="360" w:lineRule="auto"/>
        <w:rPr>
          <w:rFonts w:hint="eastAsia"/>
          <w:color w:val="000000"/>
        </w:rPr>
      </w:pPr>
    </w:p>
    <w:p>
      <w:pPr>
        <w:spacing w:line="360" w:lineRule="auto"/>
        <w:rPr>
          <w:rFonts w:hint="eastAsia"/>
          <w:color w:val="000000"/>
        </w:rPr>
      </w:pPr>
    </w:p>
    <w:p>
      <w:pPr>
        <w:spacing w:line="360" w:lineRule="auto"/>
        <w:rPr>
          <w:rFonts w:hint="eastAsia" w:ascii="仿宋_GB2312" w:eastAsia="仿宋_GB2312"/>
          <w:color w:val="000000"/>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pStyle w:val="2"/>
        <w:rPr>
          <w:rFonts w:hint="default" w:ascii="仿宋" w:hAnsi="仿宋" w:eastAsia="仿宋" w:cs="仿宋"/>
          <w:b w:val="0"/>
          <w:bCs w:val="0"/>
          <w:sz w:val="32"/>
          <w:szCs w:val="3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2119"/>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2022年11月23日印发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81C74B7"/>
    <w:rsid w:val="0A9A561C"/>
    <w:rsid w:val="0B2B2D99"/>
    <w:rsid w:val="0BD33FB3"/>
    <w:rsid w:val="0CBD14CF"/>
    <w:rsid w:val="0D525967"/>
    <w:rsid w:val="0DFB44F5"/>
    <w:rsid w:val="0E5A1AC5"/>
    <w:rsid w:val="0FBD610E"/>
    <w:rsid w:val="100C6C20"/>
    <w:rsid w:val="114F1210"/>
    <w:rsid w:val="1970517C"/>
    <w:rsid w:val="1ACF704F"/>
    <w:rsid w:val="1CBF0826"/>
    <w:rsid w:val="1E4D5F74"/>
    <w:rsid w:val="20A20446"/>
    <w:rsid w:val="238953AD"/>
    <w:rsid w:val="23A61C00"/>
    <w:rsid w:val="243A26A6"/>
    <w:rsid w:val="243C73D9"/>
    <w:rsid w:val="27B011AD"/>
    <w:rsid w:val="2A52398D"/>
    <w:rsid w:val="2A7E41CB"/>
    <w:rsid w:val="2B72732B"/>
    <w:rsid w:val="2D847318"/>
    <w:rsid w:val="2FAA5340"/>
    <w:rsid w:val="2FDE659E"/>
    <w:rsid w:val="30DA6D8B"/>
    <w:rsid w:val="321C0699"/>
    <w:rsid w:val="32C77BEE"/>
    <w:rsid w:val="32E4042B"/>
    <w:rsid w:val="35ED04F1"/>
    <w:rsid w:val="364605B0"/>
    <w:rsid w:val="37252F86"/>
    <w:rsid w:val="3735153C"/>
    <w:rsid w:val="37F038D0"/>
    <w:rsid w:val="38225C6F"/>
    <w:rsid w:val="3B1B5E2E"/>
    <w:rsid w:val="3B507E82"/>
    <w:rsid w:val="3BF31361"/>
    <w:rsid w:val="3DB5191E"/>
    <w:rsid w:val="3DD41E02"/>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EC2A36"/>
    <w:rsid w:val="711E47D4"/>
    <w:rsid w:val="714A5F46"/>
    <w:rsid w:val="76490202"/>
    <w:rsid w:val="76516F6C"/>
    <w:rsid w:val="79A7095B"/>
    <w:rsid w:val="7A4F302A"/>
    <w:rsid w:val="7CEF19E4"/>
    <w:rsid w:val="7DA2278E"/>
    <w:rsid w:val="7DBC1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font41"/>
    <w:basedOn w:val="8"/>
    <w:qFormat/>
    <w:uiPriority w:val="0"/>
    <w:rPr>
      <w:rFonts w:hint="default" w:ascii="Times New Roman" w:hAnsi="Times New Roman" w:cs="Times New Roman"/>
      <w:color w:val="000000"/>
      <w:sz w:val="24"/>
      <w:szCs w:val="24"/>
      <w:u w:val="none"/>
    </w:rPr>
  </w:style>
  <w:style w:type="character" w:customStyle="1" w:styleId="11">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1146</Words>
  <Characters>1180</Characters>
  <Lines>0</Lines>
  <Paragraphs>0</Paragraphs>
  <TotalTime>13</TotalTime>
  <ScaleCrop>false</ScaleCrop>
  <LinksUpToDate>false</LinksUpToDate>
  <CharactersWithSpaces>1289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2023-02-20T06:56:42Z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D67BDFC375914A7B8D4E887CB70CBA1C</vt:lpwstr>
  </property>
</Properties>
</file>